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000000"/>
          <w:spacing w:val="0"/>
          <w:position w:val="0"/>
          <w:sz w:val="56"/>
          <w:shd w:fill="auto" w:val="clear"/>
        </w:rPr>
      </w:pPr>
      <w:r>
        <w:rPr>
          <w:rFonts w:ascii="Calibri Light" w:hAnsi="Calibri Light" w:cs="Calibri Light" w:eastAsia="Calibri Light"/>
          <w:color w:val="000000"/>
          <w:spacing w:val="0"/>
          <w:position w:val="0"/>
          <w:sz w:val="56"/>
          <w:shd w:fill="auto" w:val="clear"/>
        </w:rPr>
        <w:t xml:space="preserve">Taxation Law and Practice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Assessment 2: Case Study Report (40%)</w:t>
      </w:r>
    </w:p>
    <w:p>
      <w:pPr>
        <w:keepNext w:val="true"/>
        <w:keepLines w:val="true"/>
        <w:numPr>
          <w:ilvl w:val="0"/>
          <w:numId w:val="3"/>
        </w:numPr>
        <w:spacing w:before="360" w:after="160" w:line="259"/>
        <w:ind w:right="0" w:left="432" w:hanging="432"/>
        <w:jc w:val="left"/>
        <w:rPr>
          <w:rFonts w:ascii="Calibri Light" w:hAnsi="Calibri Light" w:cs="Calibri Light" w:eastAsia="Calibri Light"/>
          <w:b/>
          <w:color w:val="000000"/>
          <w:spacing w:val="0"/>
          <w:position w:val="0"/>
          <w:sz w:val="36"/>
          <w:shd w:fill="auto" w:val="clear"/>
        </w:rPr>
      </w:pPr>
      <w:r>
        <w:rPr>
          <w:rFonts w:ascii="Calibri Light" w:hAnsi="Calibri Light" w:cs="Calibri Light" w:eastAsia="Calibri Light"/>
          <w:b/>
          <w:color w:val="000000"/>
          <w:spacing w:val="0"/>
          <w:position w:val="0"/>
          <w:sz w:val="36"/>
          <w:shd w:fill="auto" w:val="clear"/>
        </w:rPr>
        <w:t xml:space="preserve">Administrative Details</w:t>
      </w:r>
    </w:p>
    <w:p>
      <w:pPr>
        <w:spacing w:before="0" w:after="160" w:line="259"/>
        <w:ind w:right="0" w:left="1416" w:hanging="141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Goal: </w:t>
        <w:tab/>
        <w:t xml:space="preserve">To apply taxation knowledge to the provided scenarios enabling completion of the required calculations.</w:t>
      </w:r>
    </w:p>
    <w:p>
      <w:pPr>
        <w:spacing w:before="0" w:after="160" w:line="259"/>
        <w:ind w:right="0" w:left="1410" w:hanging="141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Product: </w:t>
        <w:tab/>
        <w:t xml:space="preserve">Individual Case Study containing two completed calculations, with assumptions and references.</w:t>
      </w:r>
    </w:p>
    <w:p>
      <w:pPr>
        <w:spacing w:before="0" w:after="160" w:line="259"/>
        <w:ind w:right="0" w:left="1410" w:hanging="141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Criteria: </w:t>
        <w:tab/>
        <w:t xml:space="preserve">Accurate interpretation, application and referencing of Taxation Laws to the facts presented.</w:t>
      </w:r>
    </w:p>
    <w:p>
      <w:pPr>
        <w:spacing w:before="0" w:after="160" w:line="259"/>
        <w:ind w:right="0" w:left="1410" w:hanging="141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 xml:space="preserve">Apply ethics and professional acumen.</w:t>
      </w:r>
    </w:p>
    <w:p>
      <w:pPr>
        <w:spacing w:before="0" w:after="160" w:line="259"/>
        <w:ind w:right="0" w:left="1410" w:hanging="141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 xml:space="preserve">Demonstration of thorough research.</w:t>
      </w:r>
    </w:p>
    <w:p>
      <w:pPr>
        <w:spacing w:before="0" w:after="160" w:line="259"/>
        <w:ind w:right="0" w:left="1410" w:hanging="141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Weighting:</w:t>
        <w:tab/>
        <w:t xml:space="preserve">40%</w:t>
      </w:r>
    </w:p>
    <w:p>
      <w:pPr>
        <w:spacing w:before="0" w:after="160" w:line="259"/>
        <w:ind w:right="0" w:left="1410" w:hanging="141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Due date:</w:t>
        <w:tab/>
        <w:t xml:space="preserve">Week 11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Monday 12am AEST</w:t>
      </w:r>
    </w:p>
    <w:p>
      <w:pPr>
        <w:spacing w:before="0" w:after="160" w:line="259"/>
        <w:ind w:right="0" w:left="1410" w:hanging="141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Submission:</w:t>
        <w:tab/>
        <w:t xml:space="preserve">Safe Assign (Excel)</w:t>
      </w:r>
    </w:p>
    <w:p>
      <w:pPr>
        <w:spacing w:before="0" w:after="160" w:line="259"/>
        <w:ind w:right="0" w:left="1410" w:hanging="141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Late penalties:</w:t>
        <w:tab/>
        <w:t xml:space="preserve">5% (of the assessment task’s identified value) per day for the first two days from the date identified as the due date for the assessment task.</w:t>
      </w:r>
    </w:p>
    <w:p>
      <w:pPr>
        <w:spacing w:before="0" w:after="160" w:line="259"/>
        <w:ind w:right="0" w:left="1410" w:hanging="141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 xml:space="preserve">10% (of the assessment task’s identified value) for the third day.</w:t>
      </w:r>
    </w:p>
    <w:p>
      <w:pPr>
        <w:spacing w:before="0" w:after="160" w:line="259"/>
        <w:ind w:right="0" w:left="1410" w:hanging="141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 xml:space="preserve">20% (of the assessment task’s identified value) for the fourth day and subsequent days up to and including seven days from the date identified as the due date for the assessment task.</w:t>
      </w:r>
    </w:p>
    <w:p>
      <w:pPr>
        <w:spacing w:before="0" w:after="160" w:line="259"/>
        <w:ind w:right="0" w:left="1410" w:hanging="141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 xml:space="preserve">A result of zero is awarded for an assessment task submitted after seven days from the date identified as the due date for the assessment task.</w:t>
      </w:r>
    </w:p>
    <w:p>
      <w:pPr>
        <w:spacing w:before="0" w:after="160" w:line="259"/>
        <w:ind w:right="0" w:left="1410" w:hanging="141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 xml:space="preserve">Weekdays and weekends are included in the calculation of days late.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To request an extension, you must contact your course coordinator to negotiate an outcome.</w:t>
      </w:r>
    </w:p>
    <w:p>
      <w:pPr>
        <w:keepNext w:val="true"/>
        <w:keepLines w:val="true"/>
        <w:numPr>
          <w:ilvl w:val="0"/>
          <w:numId w:val="6"/>
        </w:numPr>
        <w:spacing w:before="360" w:after="160" w:line="259"/>
        <w:ind w:right="0" w:left="432" w:hanging="432"/>
        <w:jc w:val="left"/>
        <w:rPr>
          <w:rFonts w:ascii="Calibri Light" w:hAnsi="Calibri Light" w:cs="Calibri Light" w:eastAsia="Calibri Light"/>
          <w:b/>
          <w:color w:val="000000"/>
          <w:spacing w:val="0"/>
          <w:position w:val="0"/>
          <w:sz w:val="36"/>
          <w:shd w:fill="auto" w:val="clear"/>
        </w:rPr>
      </w:pPr>
      <w:r>
        <w:rPr>
          <w:rFonts w:ascii="Calibri Light" w:hAnsi="Calibri Light" w:cs="Calibri Light" w:eastAsia="Calibri Light"/>
          <w:b/>
          <w:color w:val="000000"/>
          <w:spacing w:val="0"/>
          <w:position w:val="0"/>
          <w:sz w:val="36"/>
          <w:shd w:fill="auto" w:val="clear"/>
        </w:rPr>
        <w:t xml:space="preserve">Technical Details</w:t>
      </w:r>
    </w:p>
    <w:p>
      <w:pPr>
        <w:numPr>
          <w:ilvl w:val="0"/>
          <w:numId w:val="6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Satisfactory completion requires:</w:t>
      </w:r>
    </w:p>
    <w:p>
      <w:pPr>
        <w:numPr>
          <w:ilvl w:val="0"/>
          <w:numId w:val="6"/>
        </w:numPr>
        <w:spacing w:before="0" w:after="160" w:line="259"/>
        <w:ind w:right="0" w:left="108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The requested outputs </w:t>
      </w:r>
    </w:p>
    <w:p>
      <w:pPr>
        <w:numPr>
          <w:ilvl w:val="0"/>
          <w:numId w:val="6"/>
        </w:numPr>
        <w:spacing w:before="0" w:after="160" w:line="259"/>
        <w:ind w:right="0" w:left="108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Worksheet containing assumptions, explanations and calculations</w:t>
      </w:r>
    </w:p>
    <w:p>
      <w:pPr>
        <w:numPr>
          <w:ilvl w:val="0"/>
          <w:numId w:val="6"/>
        </w:numPr>
        <w:spacing w:before="0" w:after="160" w:line="259"/>
        <w:ind w:right="0" w:left="108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Relevant legislation and / or case law and / or rulings</w:t>
      </w:r>
    </w:p>
    <w:p>
      <w:pPr>
        <w:keepNext w:val="true"/>
        <w:keepLines w:val="true"/>
        <w:numPr>
          <w:ilvl w:val="0"/>
          <w:numId w:val="6"/>
        </w:numPr>
        <w:spacing w:before="360" w:after="160" w:line="259"/>
        <w:ind w:right="0" w:left="432" w:hanging="432"/>
        <w:jc w:val="left"/>
        <w:rPr>
          <w:rFonts w:ascii="Calibri Light" w:hAnsi="Calibri Light" w:cs="Calibri Light" w:eastAsia="Calibri Light"/>
          <w:b/>
          <w:color w:val="000000"/>
          <w:spacing w:val="0"/>
          <w:position w:val="0"/>
          <w:sz w:val="36"/>
          <w:shd w:fill="auto" w:val="clear"/>
        </w:rPr>
      </w:pPr>
      <w:r>
        <w:rPr>
          <w:rFonts w:ascii="Calibri Light" w:hAnsi="Calibri Light" w:cs="Calibri Light" w:eastAsia="Calibri Light"/>
          <w:b/>
          <w:color w:val="000000"/>
          <w:spacing w:val="0"/>
          <w:position w:val="0"/>
          <w:sz w:val="36"/>
          <w:shd w:fill="auto" w:val="clear"/>
        </w:rPr>
        <w:t xml:space="preserve">Practical Details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Question 1 (20 marks):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 Brown (aged 30).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 is an eligible beneficiary of the Brown Family Discretionary Trust.  The trustees decided to distribute a cash amount of $20,000 to Jane for the current tax year.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 also receives $20,000 fully franked dividends.  Jane has a $20,000 HELP debt.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 received $79,000 (gross income) from employment at Company Pty Ltd for the period 1 July 2016 to 30 June 2017.  The correct amount of PAYG has been withheld. 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 reports interest income of $475.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 advises of investment expenses of $250.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 receives rental income of $35,000 from an investment property.  The associated expenses are:</w:t>
      </w:r>
    </w:p>
    <w:p>
      <w:pPr>
        <w:numPr>
          <w:ilvl w:val="0"/>
          <w:numId w:val="11"/>
        </w:numPr>
        <w:spacing w:before="0" w:after="160" w:line="259"/>
        <w:ind w:right="0" w:left="108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Mortgage repayments: $25,000</w:t>
      </w:r>
    </w:p>
    <w:p>
      <w:pPr>
        <w:numPr>
          <w:ilvl w:val="0"/>
          <w:numId w:val="11"/>
        </w:numPr>
        <w:spacing w:before="0" w:after="160" w:line="259"/>
        <w:ind w:right="0" w:left="108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Repairs: $2,000</w:t>
      </w:r>
    </w:p>
    <w:p>
      <w:pPr>
        <w:numPr>
          <w:ilvl w:val="0"/>
          <w:numId w:val="11"/>
        </w:numPr>
        <w:spacing w:before="0" w:after="160" w:line="259"/>
        <w:ind w:right="0" w:left="108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Rates: $2,500</w:t>
      </w:r>
    </w:p>
    <w:p>
      <w:pPr>
        <w:numPr>
          <w:ilvl w:val="0"/>
          <w:numId w:val="11"/>
        </w:numPr>
        <w:spacing w:before="0" w:after="160" w:line="259"/>
        <w:ind w:right="0" w:left="108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Insurance: $500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 sold a parcel of 200 Coles Myer Group shares on 1 July 2016 for $3,500.  She had purchased these shares on 1 July 2009 for $800. Her brokerage costs of buying and selling were $300 in total.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 made donations (for which she presents tax invoices and receipts) to the value of $900.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 does not wear a uniform to work.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 pays premiums on an income protection insurance policy equivalent to $1,000 per year.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Jane does not have Private Health Insurance.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Required:</w:t>
      </w:r>
    </w:p>
    <w:tbl>
      <w:tblPr/>
      <w:tblGrid>
        <w:gridCol w:w="1101"/>
        <w:gridCol w:w="6378"/>
        <w:gridCol w:w="1037"/>
      </w:tblGrid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Task #</w:t>
            </w:r>
          </w:p>
        </w:tc>
        <w:tc>
          <w:tcPr>
            <w:tcW w:w="63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Task Description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Marks</w:t>
            </w:r>
          </w:p>
        </w:tc>
      </w:tr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63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Calculate the net tax payable/ refundable situation for Jane for the current tax year (include references, calculations &amp; assumptions)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Question 2 (20 marks):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Green Pty Ltd is a resident gardening company registered with the following information: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TFN:</w:t>
        <w:tab/>
        <w:t xml:space="preserve">859 376 213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ABN: </w:t>
        <w:tab/>
        <w:t xml:space="preserve">79 512 647 864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ACN:</w:t>
        <w:tab/>
        <w:t xml:space="preserve">86 572 314 719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The following is the financial information for the year ended 30 June 2017.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GST (where it is applicable) has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not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been removed from the following amounts.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Depreciation (for tax purposes) was reported to be $5,500 for the current year.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Income:</w:t>
      </w:r>
    </w:p>
    <w:tbl>
      <w:tblPr/>
      <w:tblGrid>
        <w:gridCol w:w="6696"/>
        <w:gridCol w:w="1820"/>
      </w:tblGrid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Sales 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345,000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Exempt income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10,000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Dividends (fully franked)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10,260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Interest received 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900</w:t>
            </w:r>
          </w:p>
        </w:tc>
      </w:tr>
      <w:tr>
        <w:trPr>
          <w:trHeight w:val="96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Compensation from a client who failed in a legal suit to obtain damages from Green Pty td for alleged property damage.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4,000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Net capital gain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4,000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0070C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Expenses: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0070C0"/>
          <w:spacing w:val="0"/>
          <w:position w:val="0"/>
          <w:sz w:val="22"/>
          <w:u w:val="single"/>
          <w:shd w:fill="auto" w:val="clear"/>
        </w:rPr>
      </w:pPr>
    </w:p>
    <w:tbl>
      <w:tblPr/>
      <w:tblGrid>
        <w:gridCol w:w="6696"/>
        <w:gridCol w:w="1820"/>
      </w:tblGrid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Advertising (print, net, signage, flyers)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1,000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Bad debts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900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Bank Charges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150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Capital expenditure (qualifies for immediate deduction)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3,000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Cost of sales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2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   60,000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Sub-contractor expenses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23,000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Depreciation expenses 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2,000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Electricity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800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Entertainment 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2,000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Environmental protection (disposal of chemicals)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600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Fines (speeding and parking tickets)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500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Insurance 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600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Interest expenses within Australia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1,200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Lease expenses within Australia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4,000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Motor Vehicle 3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  <w:vertAlign w:val="superscript"/>
              </w:rPr>
              <w:t xml:space="preserve">rd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Party insurance 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550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Motor Vehicle expenses (petrol &amp; maintenance)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4,000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Motor Vehicle Registration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1,200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Rent expenses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11,800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Stationery &amp; Office supplies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200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Tea, coffee, sugar &amp; milk for staff use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Telstra (Phones &amp; Internet)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2,000</w:t>
            </w:r>
          </w:p>
        </w:tc>
      </w:tr>
      <w:tr>
        <w:trPr>
          <w:trHeight w:val="340" w:hRule="auto"/>
          <w:jc w:val="left"/>
        </w:trPr>
        <w:tc>
          <w:tcPr>
            <w:tcW w:w="66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Wages </w:t>
            </w:r>
          </w:p>
        </w:tc>
        <w:tc>
          <w:tcPr>
            <w:tcW w:w="18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45,000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70C0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Required:</w:t>
      </w:r>
    </w:p>
    <w:tbl>
      <w:tblPr/>
      <w:tblGrid>
        <w:gridCol w:w="1101"/>
        <w:gridCol w:w="6378"/>
        <w:gridCol w:w="1037"/>
      </w:tblGrid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Task #</w:t>
            </w:r>
          </w:p>
        </w:tc>
        <w:tc>
          <w:tcPr>
            <w:tcW w:w="63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Task Description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Marks</w:t>
            </w:r>
          </w:p>
        </w:tc>
      </w:tr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63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Calculate the net tax payable/ refundable situation for Green Pty Ltd (include references, calculations &amp; assumptions)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num w:numId="3">
    <w:abstractNumId w:val="12"/>
  </w:num>
  <w:num w:numId="6">
    <w:abstractNumId w:val="6"/>
  </w:num>
  <w:num w:numId="1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